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rPr>
          <w:b w:val="1"/>
        </w:rPr>
      </w:pPr>
      <w:r w:rsidDel="00000000" w:rsidR="00000000" w:rsidRPr="00000000">
        <w:rPr>
          <w:b w:val="1"/>
          <w:rtl w:val="0"/>
        </w:rPr>
        <w:t xml:space="preserve">Week 6 Hands on Checklist:</w:t>
      </w:r>
    </w:p>
    <w:p w:rsidR="00000000" w:rsidDel="00000000" w:rsidP="00000000" w:rsidRDefault="00000000" w:rsidRPr="00000000" w14:paraId="00000002">
      <w:pPr>
        <w:rPr/>
      </w:pPr>
      <w:r w:rsidDel="00000000" w:rsidR="00000000" w:rsidRPr="00000000">
        <w:rPr>
          <w:rtl w:val="0"/>
        </w:rPr>
      </w:r>
    </w:p>
    <w:tbl>
      <w:tblPr>
        <w:tblStyle w:val="Table1"/>
        <w:tblW w:w="9360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8310"/>
        <w:gridCol w:w="1050"/>
        <w:tblGridChange w:id="0">
          <w:tblGrid>
            <w:gridCol w:w="8310"/>
            <w:gridCol w:w="1050"/>
          </w:tblGrid>
        </w:tblGridChange>
      </w:tblGrid>
      <w:tr>
        <w:trPr>
          <w:cantSplit w:val="0"/>
          <w:tblHeader w:val="0"/>
        </w:trPr>
        <w:tc>
          <w:tcPr>
            <w:shd w:fill="cfe2f3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3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Image acquisition and optimization</w:t>
            </w:r>
          </w:p>
        </w:tc>
        <w:tc>
          <w:tcPr>
            <w:shd w:fill="cfe2f3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4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5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Compare lung imaging at the right inferior costal margin utilizing the curvilinear, phased array and linear probe.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6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7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Assess for lung sliding with shallow and deep depths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8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9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Assess for lung sliding with high and low gain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A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B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Compare lung sliding in the sagittal and transverse planes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C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cfe2f3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D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M-Mode</w:t>
            </w:r>
          </w:p>
        </w:tc>
        <w:tc>
          <w:tcPr>
            <w:shd w:fill="cfe2f3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E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F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Place M-MODE between two ribs, identify the pleural line, absence/presence of pneumothorax and a lung pulse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0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cfe2f3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1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Color and Pulse Wave Doppler</w:t>
            </w:r>
          </w:p>
        </w:tc>
        <w:tc>
          <w:tcPr>
            <w:shd w:fill="cfe2f3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2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3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Identify the inferior costal artery and vein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4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15">
      <w:pPr>
        <w:pStyle w:val="Heading4"/>
        <w:rPr/>
      </w:pPr>
      <w:bookmarkStart w:colFirst="0" w:colLast="0" w:name="_yc5162taylr8" w:id="0"/>
      <w:bookmarkEnd w:id="0"/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sectPr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